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CAD" w:rsidRDefault="006A6CAD" w:rsidP="00D861E1">
      <w:pPr>
        <w:tabs>
          <w:tab w:val="left" w:pos="540"/>
          <w:tab w:val="left" w:pos="990"/>
          <w:tab w:val="left" w:pos="1440"/>
          <w:tab w:val="decimal" w:leader="dot" w:pos="8550"/>
        </w:tabs>
        <w:ind w:left="540" w:hanging="540"/>
        <w:jc w:val="center"/>
        <w:rPr>
          <w:b/>
          <w:bCs/>
          <w:sz w:val="24"/>
          <w:szCs w:val="24"/>
          <w:lang w:val="en-GB"/>
        </w:rPr>
      </w:pPr>
    </w:p>
    <w:p w:rsidR="00FB535F" w:rsidRDefault="00FB535F" w:rsidP="00D861E1">
      <w:pPr>
        <w:tabs>
          <w:tab w:val="left" w:pos="540"/>
          <w:tab w:val="left" w:pos="990"/>
          <w:tab w:val="left" w:pos="1440"/>
          <w:tab w:val="decimal" w:leader="dot" w:pos="8550"/>
        </w:tabs>
        <w:ind w:left="540" w:hanging="540"/>
        <w:jc w:val="center"/>
        <w:rPr>
          <w:b/>
          <w:bCs/>
          <w:sz w:val="24"/>
          <w:szCs w:val="24"/>
          <w:lang w:val="en-GB"/>
        </w:rPr>
      </w:pPr>
    </w:p>
    <w:p w:rsidR="00420CB6" w:rsidRPr="00C30A38" w:rsidRDefault="00D4405F" w:rsidP="00F917C4">
      <w:pPr>
        <w:tabs>
          <w:tab w:val="left" w:pos="540"/>
          <w:tab w:val="left" w:pos="990"/>
          <w:tab w:val="left" w:pos="1440"/>
          <w:tab w:val="decimal" w:leader="dot" w:pos="8550"/>
        </w:tabs>
        <w:ind w:left="540" w:hanging="54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March</w:t>
      </w:r>
      <w:r w:rsidR="00F917C4">
        <w:rPr>
          <w:b/>
          <w:bCs/>
          <w:sz w:val="28"/>
          <w:szCs w:val="28"/>
          <w:lang w:val="en-GB"/>
        </w:rPr>
        <w:t xml:space="preserve"> 2017 Blog</w:t>
      </w:r>
    </w:p>
    <w:p w:rsidR="00420CB6" w:rsidRPr="00420CB6" w:rsidRDefault="00F917C4" w:rsidP="00D861E1">
      <w:pPr>
        <w:tabs>
          <w:tab w:val="left" w:pos="540"/>
          <w:tab w:val="left" w:pos="990"/>
          <w:tab w:val="left" w:pos="1440"/>
          <w:tab w:val="decimal" w:leader="dot" w:pos="8550"/>
        </w:tabs>
        <w:ind w:left="540" w:hanging="540"/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Do You Have a Bushing Replacement Program</w:t>
      </w:r>
      <w:r w:rsidR="00D4405F">
        <w:rPr>
          <w:b/>
          <w:bCs/>
          <w:sz w:val="24"/>
          <w:szCs w:val="24"/>
          <w:lang w:val="en-GB"/>
        </w:rPr>
        <w:t xml:space="preserve"> – Part 2</w:t>
      </w:r>
      <w:r w:rsidR="00000C79">
        <w:rPr>
          <w:b/>
          <w:bCs/>
          <w:sz w:val="24"/>
          <w:szCs w:val="24"/>
          <w:lang w:val="en-GB"/>
        </w:rPr>
        <w:t xml:space="preserve"> </w:t>
      </w:r>
    </w:p>
    <w:p w:rsidR="005070B7" w:rsidRPr="005070B7" w:rsidRDefault="005070B7" w:rsidP="00F45E60">
      <w:pPr>
        <w:tabs>
          <w:tab w:val="left" w:pos="540"/>
          <w:tab w:val="left" w:pos="990"/>
          <w:tab w:val="left" w:pos="1440"/>
          <w:tab w:val="decimal" w:leader="dot" w:pos="8550"/>
        </w:tabs>
        <w:ind w:left="540" w:hanging="540"/>
        <w:jc w:val="both"/>
        <w:rPr>
          <w:bCs/>
          <w:sz w:val="24"/>
          <w:szCs w:val="24"/>
          <w:lang w:val="en-GB"/>
        </w:rPr>
      </w:pPr>
    </w:p>
    <w:p w:rsidR="00E9693C" w:rsidRDefault="00FC6CE0" w:rsidP="006D08F0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Continuing</w:t>
      </w:r>
      <w:r w:rsidR="00D4405F">
        <w:rPr>
          <w:sz w:val="24"/>
          <w:szCs w:val="24"/>
          <w:lang w:val="en-GB"/>
        </w:rPr>
        <w:t xml:space="preserve"> with the topic of bushing replacement</w:t>
      </w:r>
      <w:r w:rsidR="00FC33F4">
        <w:rPr>
          <w:sz w:val="24"/>
          <w:szCs w:val="24"/>
          <w:lang w:val="en-GB"/>
        </w:rPr>
        <w:t>s</w:t>
      </w:r>
      <w:r w:rsidR="00D4405F">
        <w:rPr>
          <w:sz w:val="24"/>
          <w:szCs w:val="24"/>
          <w:lang w:val="en-GB"/>
        </w:rPr>
        <w:t xml:space="preserve"> and the challenges of replacing vintage style oil-filled bushings with current standard bushings, </w:t>
      </w:r>
      <w:r w:rsidR="007D18B1">
        <w:rPr>
          <w:sz w:val="24"/>
          <w:szCs w:val="24"/>
          <w:lang w:val="en-GB"/>
        </w:rPr>
        <w:t>the following is an example of</w:t>
      </w:r>
      <w:r w:rsidR="00D4405F">
        <w:rPr>
          <w:sz w:val="24"/>
          <w:szCs w:val="24"/>
          <w:lang w:val="en-GB"/>
        </w:rPr>
        <w:t xml:space="preserve"> how the RIF® dry type b</w:t>
      </w:r>
      <w:r w:rsidR="00E9693C">
        <w:rPr>
          <w:sz w:val="24"/>
          <w:szCs w:val="24"/>
          <w:lang w:val="en-GB"/>
        </w:rPr>
        <w:t>ushing</w:t>
      </w:r>
      <w:r w:rsidR="00D4405F">
        <w:rPr>
          <w:sz w:val="24"/>
          <w:szCs w:val="24"/>
          <w:lang w:val="en-GB"/>
        </w:rPr>
        <w:t xml:space="preserve"> technology </w:t>
      </w:r>
      <w:r>
        <w:rPr>
          <w:sz w:val="24"/>
          <w:szCs w:val="24"/>
          <w:lang w:val="en-GB"/>
        </w:rPr>
        <w:t>could</w:t>
      </w:r>
      <w:r w:rsidR="00D4405F">
        <w:rPr>
          <w:sz w:val="24"/>
          <w:szCs w:val="24"/>
          <w:lang w:val="en-GB"/>
        </w:rPr>
        <w:t xml:space="preserve"> meet the non-standard dimensional </w:t>
      </w:r>
      <w:r w:rsidR="007D18B1">
        <w:rPr>
          <w:sz w:val="24"/>
          <w:szCs w:val="24"/>
          <w:lang w:val="en-GB"/>
        </w:rPr>
        <w:t xml:space="preserve">requirements of a COTA bushing </w:t>
      </w:r>
      <w:r>
        <w:rPr>
          <w:sz w:val="24"/>
          <w:szCs w:val="24"/>
          <w:lang w:val="en-GB"/>
        </w:rPr>
        <w:t>replacement.</w:t>
      </w:r>
    </w:p>
    <w:p w:rsidR="00D4405F" w:rsidRDefault="00D4405F" w:rsidP="006D08F0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</w:p>
    <w:p w:rsidR="00D4405F" w:rsidRPr="00D4405F" w:rsidRDefault="00D4405F" w:rsidP="006D08F0">
      <w:pPr>
        <w:tabs>
          <w:tab w:val="left" w:pos="540"/>
          <w:tab w:val="left" w:pos="990"/>
          <w:tab w:val="left" w:pos="1440"/>
          <w:tab w:val="decimal" w:leader="dot" w:pos="8550"/>
        </w:tabs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Replacement of a COTA 1</w:t>
      </w:r>
      <w:r w:rsidR="00742603">
        <w:rPr>
          <w:b/>
          <w:sz w:val="24"/>
          <w:szCs w:val="24"/>
          <w:u w:val="single"/>
          <w:lang w:val="en-GB"/>
        </w:rPr>
        <w:t>38</w:t>
      </w:r>
      <w:r>
        <w:rPr>
          <w:b/>
          <w:sz w:val="24"/>
          <w:szCs w:val="24"/>
          <w:u w:val="single"/>
          <w:lang w:val="en-GB"/>
        </w:rPr>
        <w:t xml:space="preserve"> kV, 800 A, 650 kV BIL Bushing</w:t>
      </w:r>
    </w:p>
    <w:p w:rsidR="00E14CF7" w:rsidRDefault="00E14CF7" w:rsidP="006D08F0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</w:p>
    <w:p w:rsidR="006539AE" w:rsidRDefault="00FC33F4" w:rsidP="006D08F0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COTA bushing design was first developed by </w:t>
      </w:r>
      <w:proofErr w:type="spellStart"/>
      <w:r>
        <w:rPr>
          <w:sz w:val="24"/>
          <w:szCs w:val="24"/>
          <w:lang w:val="en-GB"/>
        </w:rPr>
        <w:t>Haefely</w:t>
      </w:r>
      <w:proofErr w:type="spellEnd"/>
      <w:r>
        <w:rPr>
          <w:sz w:val="24"/>
          <w:szCs w:val="24"/>
          <w:lang w:val="en-GB"/>
        </w:rPr>
        <w:t xml:space="preserve"> in the 1990’s</w:t>
      </w:r>
      <w:r w:rsidR="00C26432">
        <w:rPr>
          <w:sz w:val="24"/>
          <w:szCs w:val="24"/>
          <w:lang w:val="en-GB"/>
        </w:rPr>
        <w:t xml:space="preserve">. The </w:t>
      </w:r>
      <w:r w:rsidR="00831440">
        <w:rPr>
          <w:sz w:val="24"/>
          <w:szCs w:val="24"/>
          <w:lang w:val="en-GB"/>
        </w:rPr>
        <w:t xml:space="preserve">basis behind the </w:t>
      </w:r>
      <w:r w:rsidR="00C26432">
        <w:rPr>
          <w:sz w:val="24"/>
          <w:szCs w:val="24"/>
          <w:lang w:val="en-GB"/>
        </w:rPr>
        <w:t>COTA Type C design was to provide the standardization that OEMs and users were looking for in their bushing applications</w:t>
      </w:r>
      <w:r w:rsidR="00831440">
        <w:rPr>
          <w:sz w:val="24"/>
          <w:szCs w:val="24"/>
          <w:lang w:val="en-GB"/>
        </w:rPr>
        <w:t>. This concept of standardization was</w:t>
      </w:r>
      <w:r w:rsidR="005F64B9">
        <w:rPr>
          <w:sz w:val="24"/>
          <w:szCs w:val="24"/>
          <w:lang w:val="en-GB"/>
        </w:rPr>
        <w:t xml:space="preserve"> actively</w:t>
      </w:r>
      <w:r w:rsidR="00831440">
        <w:rPr>
          <w:sz w:val="24"/>
          <w:szCs w:val="24"/>
          <w:lang w:val="en-GB"/>
        </w:rPr>
        <w:t xml:space="preserve"> promoted</w:t>
      </w:r>
      <w:r w:rsidR="005F64B9">
        <w:rPr>
          <w:sz w:val="24"/>
          <w:szCs w:val="24"/>
          <w:lang w:val="en-GB"/>
        </w:rPr>
        <w:t xml:space="preserve"> and</w:t>
      </w:r>
      <w:r w:rsidR="00C26432">
        <w:rPr>
          <w:sz w:val="24"/>
          <w:szCs w:val="24"/>
          <w:lang w:val="en-GB"/>
        </w:rPr>
        <w:t xml:space="preserve"> </w:t>
      </w:r>
      <w:r w:rsidR="005F64B9">
        <w:rPr>
          <w:sz w:val="24"/>
          <w:szCs w:val="24"/>
          <w:lang w:val="en-GB"/>
        </w:rPr>
        <w:t xml:space="preserve">in combination with </w:t>
      </w:r>
      <w:r w:rsidR="00C26432">
        <w:rPr>
          <w:sz w:val="24"/>
          <w:szCs w:val="24"/>
          <w:lang w:val="en-GB"/>
        </w:rPr>
        <w:t>an aggressive pricing strategy these bushings became a favourite of users and OEMs</w:t>
      </w:r>
      <w:r w:rsidR="00147F8A">
        <w:rPr>
          <w:sz w:val="24"/>
          <w:szCs w:val="24"/>
          <w:lang w:val="en-GB"/>
        </w:rPr>
        <w:t xml:space="preserve"> for many years</w:t>
      </w:r>
      <w:r w:rsidR="005D46D8">
        <w:rPr>
          <w:sz w:val="24"/>
          <w:szCs w:val="24"/>
          <w:lang w:val="en-GB"/>
        </w:rPr>
        <w:t xml:space="preserve"> with thousands installed</w:t>
      </w:r>
      <w:r w:rsidR="00C26432">
        <w:rPr>
          <w:sz w:val="24"/>
          <w:szCs w:val="24"/>
          <w:lang w:val="en-GB"/>
        </w:rPr>
        <w:t>.</w:t>
      </w:r>
      <w:r w:rsidR="005D46D8">
        <w:rPr>
          <w:sz w:val="24"/>
          <w:szCs w:val="24"/>
          <w:lang w:val="en-GB"/>
        </w:rPr>
        <w:t xml:space="preserve"> When COTA bushings started failing violently in larger than acceptable numbers many utilities decided to fast track their COTA bushing replacements. </w:t>
      </w:r>
      <w:r w:rsidR="00FC6CE0">
        <w:rPr>
          <w:sz w:val="24"/>
          <w:szCs w:val="24"/>
          <w:lang w:val="en-GB"/>
        </w:rPr>
        <w:t>However,</w:t>
      </w:r>
      <w:r w:rsidR="005D46D8">
        <w:rPr>
          <w:sz w:val="24"/>
          <w:szCs w:val="24"/>
          <w:lang w:val="en-GB"/>
        </w:rPr>
        <w:t xml:space="preserve"> replacing these bushings was not as straight forward as first thought as the COTA bushing uses </w:t>
      </w:r>
      <w:r w:rsidR="00E5504C">
        <w:rPr>
          <w:sz w:val="24"/>
          <w:szCs w:val="24"/>
          <w:lang w:val="en-GB"/>
        </w:rPr>
        <w:t>a smaller diameter oil end condenser body.</w:t>
      </w:r>
      <w:r w:rsidR="005D46D8">
        <w:rPr>
          <w:sz w:val="24"/>
          <w:szCs w:val="24"/>
          <w:lang w:val="en-GB"/>
        </w:rPr>
        <w:t xml:space="preserve"> </w:t>
      </w:r>
      <w:r w:rsidR="006539AE">
        <w:rPr>
          <w:sz w:val="24"/>
          <w:szCs w:val="24"/>
          <w:lang w:val="en-GB"/>
        </w:rPr>
        <w:t xml:space="preserve">This makes for smaller bushing turret and bushing CT window openings through which a standard bushing cannot pass through. </w:t>
      </w:r>
    </w:p>
    <w:p w:rsidR="006539AE" w:rsidRDefault="006539AE" w:rsidP="006D08F0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</w:p>
    <w:p w:rsidR="00E750BA" w:rsidRDefault="006539AE" w:rsidP="006D08F0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New direct replacement designs therefore needed to be developed. The RIF® direct </w:t>
      </w:r>
      <w:r w:rsidR="00742603">
        <w:rPr>
          <w:sz w:val="24"/>
          <w:szCs w:val="24"/>
          <w:lang w:val="en-GB"/>
        </w:rPr>
        <w:t xml:space="preserve">replacement </w:t>
      </w:r>
      <w:r>
        <w:rPr>
          <w:sz w:val="24"/>
          <w:szCs w:val="24"/>
          <w:lang w:val="en-GB"/>
        </w:rPr>
        <w:t>solution was to design a condenser with a thin wall centr</w:t>
      </w:r>
      <w:r w:rsidR="00742603">
        <w:rPr>
          <w:sz w:val="24"/>
          <w:szCs w:val="24"/>
          <w:lang w:val="en-GB"/>
        </w:rPr>
        <w:t>al</w:t>
      </w:r>
      <w:r>
        <w:rPr>
          <w:sz w:val="24"/>
          <w:szCs w:val="24"/>
          <w:lang w:val="en-GB"/>
        </w:rPr>
        <w:t xml:space="preserve"> tube and an optimized condenser foil layer design. </w:t>
      </w:r>
      <w:r w:rsidR="00E750BA">
        <w:rPr>
          <w:sz w:val="24"/>
          <w:szCs w:val="24"/>
          <w:lang w:val="en-GB"/>
        </w:rPr>
        <w:t xml:space="preserve">Two </w:t>
      </w:r>
      <w:r>
        <w:rPr>
          <w:sz w:val="24"/>
          <w:szCs w:val="24"/>
          <w:lang w:val="en-GB"/>
        </w:rPr>
        <w:t>prototype</w:t>
      </w:r>
      <w:r w:rsidR="00E750BA">
        <w:rPr>
          <w:sz w:val="24"/>
          <w:szCs w:val="24"/>
          <w:lang w:val="en-GB"/>
        </w:rPr>
        <w:t>s rated 126 kV, 630 A and 252 kV, 630 A</w:t>
      </w:r>
      <w:r>
        <w:rPr>
          <w:sz w:val="24"/>
          <w:szCs w:val="24"/>
          <w:lang w:val="en-GB"/>
        </w:rPr>
        <w:t xml:space="preserve"> w</w:t>
      </w:r>
      <w:r w:rsidR="00E750BA">
        <w:rPr>
          <w:sz w:val="24"/>
          <w:szCs w:val="24"/>
          <w:lang w:val="en-GB"/>
        </w:rPr>
        <w:t>ere</w:t>
      </w:r>
      <w:r>
        <w:rPr>
          <w:sz w:val="24"/>
          <w:szCs w:val="24"/>
          <w:lang w:val="en-GB"/>
        </w:rPr>
        <w:t xml:space="preserve"> built and tested to validate the new design.</w:t>
      </w:r>
    </w:p>
    <w:p w:rsidR="002D410D" w:rsidRDefault="002D410D" w:rsidP="006D08F0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</w:p>
    <w:p w:rsidR="005A3CA8" w:rsidRDefault="002D410D" w:rsidP="006D08F0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</w:t>
      </w:r>
      <w:r w:rsidR="00FC6CE0">
        <w:rPr>
          <w:sz w:val="24"/>
          <w:szCs w:val="24"/>
          <w:lang w:val="en-GB"/>
        </w:rPr>
        <w:t>2016,</w:t>
      </w:r>
      <w:r>
        <w:rPr>
          <w:sz w:val="24"/>
          <w:szCs w:val="24"/>
          <w:lang w:val="en-GB"/>
        </w:rPr>
        <w:t xml:space="preserve"> a request was received for a direct replacement of a COTA 650-H014-23-AG3-01 (138 kV, 800 A, 650 kV BIL) bushing. With our new optimized thin </w:t>
      </w:r>
      <w:r w:rsidR="00FC6CE0">
        <w:rPr>
          <w:sz w:val="24"/>
          <w:szCs w:val="24"/>
          <w:lang w:val="en-GB"/>
        </w:rPr>
        <w:t>wall,</w:t>
      </w:r>
      <w:r w:rsidR="00A5009E">
        <w:rPr>
          <w:sz w:val="24"/>
          <w:szCs w:val="24"/>
          <w:lang w:val="en-GB"/>
        </w:rPr>
        <w:t xml:space="preserve"> central conductor</w:t>
      </w:r>
      <w:r>
        <w:rPr>
          <w:sz w:val="24"/>
          <w:szCs w:val="24"/>
          <w:lang w:val="en-GB"/>
        </w:rPr>
        <w:t xml:space="preserve"> design we </w:t>
      </w:r>
      <w:r w:rsidR="00C60A00">
        <w:rPr>
          <w:sz w:val="24"/>
          <w:szCs w:val="24"/>
          <w:lang w:val="en-GB"/>
        </w:rPr>
        <w:t>could</w:t>
      </w:r>
      <w:r>
        <w:rPr>
          <w:sz w:val="24"/>
          <w:szCs w:val="24"/>
          <w:lang w:val="en-GB"/>
        </w:rPr>
        <w:t xml:space="preserve"> meet all the critical dimensions for a direct replacement. </w:t>
      </w:r>
      <w:r w:rsidR="00FC6CE0">
        <w:rPr>
          <w:sz w:val="24"/>
          <w:szCs w:val="24"/>
          <w:lang w:val="en-GB"/>
        </w:rPr>
        <w:t>Also,</w:t>
      </w:r>
      <w:r>
        <w:rPr>
          <w:sz w:val="24"/>
          <w:szCs w:val="24"/>
          <w:lang w:val="en-GB"/>
        </w:rPr>
        <w:t xml:space="preserve"> to facilitate the replacement a special adaptor was designed for connecting to the </w:t>
      </w:r>
      <w:r w:rsidR="005A36B8">
        <w:rPr>
          <w:sz w:val="24"/>
          <w:szCs w:val="24"/>
          <w:lang w:val="en-GB"/>
        </w:rPr>
        <w:t xml:space="preserve">original </w:t>
      </w:r>
      <w:r>
        <w:rPr>
          <w:sz w:val="24"/>
          <w:szCs w:val="24"/>
          <w:lang w:val="en-GB"/>
        </w:rPr>
        <w:t>COTA draw lead stud.</w:t>
      </w:r>
    </w:p>
    <w:p w:rsidR="005A3CA8" w:rsidRDefault="005A3CA8" w:rsidP="006D08F0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</w:p>
    <w:p w:rsidR="002D410D" w:rsidRDefault="005A3CA8" w:rsidP="006D08F0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  <w:r w:rsidRPr="005A3CA8">
        <w:rPr>
          <w:color w:val="FF0000"/>
          <w:sz w:val="24"/>
          <w:szCs w:val="24"/>
          <w:lang w:val="en-GB"/>
        </w:rPr>
        <w:t xml:space="preserve">Since then a direct replacement </w:t>
      </w:r>
      <w:r w:rsidR="009E265D">
        <w:rPr>
          <w:color w:val="FF0000"/>
          <w:sz w:val="24"/>
          <w:szCs w:val="24"/>
          <w:lang w:val="en-GB"/>
        </w:rPr>
        <w:t xml:space="preserve">RIF® </w:t>
      </w:r>
      <w:r w:rsidRPr="005A3CA8">
        <w:rPr>
          <w:color w:val="FF0000"/>
          <w:sz w:val="24"/>
          <w:szCs w:val="24"/>
          <w:lang w:val="en-GB"/>
        </w:rPr>
        <w:t xml:space="preserve">design </w:t>
      </w:r>
      <w:r w:rsidR="009E265D">
        <w:rPr>
          <w:color w:val="FF0000"/>
          <w:sz w:val="24"/>
          <w:szCs w:val="24"/>
          <w:lang w:val="en-GB"/>
        </w:rPr>
        <w:t xml:space="preserve">has also been developed </w:t>
      </w:r>
      <w:r w:rsidRPr="005A3CA8">
        <w:rPr>
          <w:color w:val="FF0000"/>
          <w:sz w:val="24"/>
          <w:szCs w:val="24"/>
          <w:lang w:val="en-GB"/>
        </w:rPr>
        <w:t xml:space="preserve">for </w:t>
      </w:r>
      <w:r w:rsidR="009E265D">
        <w:rPr>
          <w:color w:val="FF0000"/>
          <w:sz w:val="24"/>
          <w:szCs w:val="24"/>
          <w:lang w:val="en-GB"/>
        </w:rPr>
        <w:t xml:space="preserve">a </w:t>
      </w:r>
      <w:r w:rsidRPr="005A3CA8">
        <w:rPr>
          <w:color w:val="FF0000"/>
          <w:sz w:val="24"/>
          <w:szCs w:val="24"/>
          <w:lang w:val="en-GB"/>
        </w:rPr>
        <w:t>230 kV, 900 kV BIL COTA bushing (Style # 900-H016-23-AG3-01).</w:t>
      </w:r>
      <w:r w:rsidR="002D410D">
        <w:rPr>
          <w:sz w:val="24"/>
          <w:szCs w:val="24"/>
          <w:lang w:val="en-GB"/>
        </w:rPr>
        <w:t xml:space="preserve"> </w:t>
      </w:r>
    </w:p>
    <w:p w:rsidR="00742603" w:rsidRDefault="00742603" w:rsidP="006D08F0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</w:p>
    <w:p w:rsidR="002E294C" w:rsidRDefault="00C26D2E" w:rsidP="00210ED8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following table shows a comparison</w:t>
      </w:r>
      <w:r w:rsidR="00E31937">
        <w:rPr>
          <w:sz w:val="24"/>
          <w:szCs w:val="24"/>
          <w:lang w:val="en-GB"/>
        </w:rPr>
        <w:t xml:space="preserve"> </w:t>
      </w:r>
      <w:r w:rsidR="00C324BA">
        <w:rPr>
          <w:sz w:val="24"/>
          <w:szCs w:val="24"/>
          <w:lang w:val="en-GB"/>
        </w:rPr>
        <w:t xml:space="preserve">between </w:t>
      </w:r>
      <w:r w:rsidR="00E31937">
        <w:rPr>
          <w:sz w:val="24"/>
          <w:szCs w:val="24"/>
          <w:lang w:val="en-GB"/>
        </w:rPr>
        <w:t xml:space="preserve">the </w:t>
      </w:r>
      <w:r w:rsidR="00C324BA">
        <w:rPr>
          <w:sz w:val="24"/>
          <w:szCs w:val="24"/>
          <w:lang w:val="en-GB"/>
        </w:rPr>
        <w:t>original oil-filled</w:t>
      </w:r>
      <w:r w:rsidR="000444C7">
        <w:rPr>
          <w:sz w:val="24"/>
          <w:szCs w:val="24"/>
          <w:lang w:val="en-GB"/>
        </w:rPr>
        <w:t xml:space="preserve"> </w:t>
      </w:r>
      <w:r w:rsidR="005F64B9">
        <w:rPr>
          <w:sz w:val="24"/>
          <w:szCs w:val="24"/>
          <w:lang w:val="en-GB"/>
        </w:rPr>
        <w:t>C</w:t>
      </w:r>
      <w:r w:rsidR="007D18B1">
        <w:rPr>
          <w:sz w:val="24"/>
          <w:szCs w:val="24"/>
          <w:lang w:val="en-GB"/>
        </w:rPr>
        <w:t>OTA</w:t>
      </w:r>
      <w:r w:rsidR="000444C7">
        <w:rPr>
          <w:sz w:val="24"/>
          <w:szCs w:val="24"/>
          <w:lang w:val="en-GB"/>
        </w:rPr>
        <w:t xml:space="preserve"> bushing</w:t>
      </w:r>
      <w:bookmarkStart w:id="0" w:name="_GoBack"/>
      <w:bookmarkEnd w:id="0"/>
      <w:r w:rsidR="00E31937">
        <w:rPr>
          <w:sz w:val="24"/>
          <w:szCs w:val="24"/>
          <w:lang w:val="en-GB"/>
        </w:rPr>
        <w:t xml:space="preserve"> and </w:t>
      </w:r>
      <w:r w:rsidR="00C324BA">
        <w:rPr>
          <w:sz w:val="24"/>
          <w:szCs w:val="24"/>
          <w:lang w:val="en-GB"/>
        </w:rPr>
        <w:t xml:space="preserve">the </w:t>
      </w:r>
      <w:r w:rsidR="00E31937">
        <w:rPr>
          <w:sz w:val="24"/>
          <w:szCs w:val="24"/>
          <w:lang w:val="en-GB"/>
        </w:rPr>
        <w:t>new</w:t>
      </w:r>
      <w:r w:rsidR="00C324BA">
        <w:rPr>
          <w:sz w:val="24"/>
          <w:szCs w:val="24"/>
          <w:lang w:val="en-GB"/>
        </w:rPr>
        <w:t xml:space="preserve"> dry type</w:t>
      </w:r>
      <w:r w:rsidR="00E31937">
        <w:rPr>
          <w:sz w:val="24"/>
          <w:szCs w:val="24"/>
          <w:lang w:val="en-GB"/>
        </w:rPr>
        <w:t xml:space="preserve"> replacement bushing:</w:t>
      </w:r>
      <w:r>
        <w:rPr>
          <w:sz w:val="24"/>
          <w:szCs w:val="24"/>
          <w:lang w:val="en-GB"/>
        </w:rPr>
        <w:t xml:space="preserve"> </w:t>
      </w:r>
    </w:p>
    <w:p w:rsidR="00C26D2E" w:rsidRDefault="00C26D2E" w:rsidP="00210ED8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</w:p>
    <w:tbl>
      <w:tblPr>
        <w:tblStyle w:val="TableGrid"/>
        <w:tblW w:w="13155" w:type="dxa"/>
        <w:tblLayout w:type="fixed"/>
        <w:tblLook w:val="04A0" w:firstRow="1" w:lastRow="0" w:firstColumn="1" w:lastColumn="0" w:noHBand="0" w:noVBand="1"/>
      </w:tblPr>
      <w:tblGrid>
        <w:gridCol w:w="3574"/>
        <w:gridCol w:w="2395"/>
        <w:gridCol w:w="2395"/>
        <w:gridCol w:w="2395"/>
        <w:gridCol w:w="2396"/>
      </w:tblGrid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b/>
                <w:bCs/>
                <w:sz w:val="24"/>
                <w:szCs w:val="24"/>
              </w:rPr>
            </w:pPr>
            <w:r w:rsidRPr="00C26D2E">
              <w:rPr>
                <w:rFonts w:hint="eastAsia"/>
                <w:b/>
                <w:bCs/>
                <w:sz w:val="24"/>
                <w:szCs w:val="24"/>
              </w:rPr>
              <w:t>Bushing Ratings</w:t>
            </w:r>
          </w:p>
        </w:tc>
        <w:tc>
          <w:tcPr>
            <w:tcW w:w="2395" w:type="dxa"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</w:p>
        </w:tc>
        <w:tc>
          <w:tcPr>
            <w:tcW w:w="2395" w:type="dxa"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Catalogue Number</w:t>
            </w:r>
          </w:p>
        </w:tc>
        <w:tc>
          <w:tcPr>
            <w:tcW w:w="2395" w:type="dxa"/>
          </w:tcPr>
          <w:p w:rsidR="005A3CA8" w:rsidRPr="009E265D" w:rsidRDefault="0090634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COTA 900-H016-23-AG3-01</w:t>
            </w:r>
          </w:p>
        </w:tc>
        <w:tc>
          <w:tcPr>
            <w:tcW w:w="2395" w:type="dxa"/>
          </w:tcPr>
          <w:p w:rsidR="00906348" w:rsidRPr="009E265D" w:rsidRDefault="00906348" w:rsidP="00906348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RHM International</w:t>
            </w:r>
          </w:p>
          <w:p w:rsidR="00906348" w:rsidRPr="009E265D" w:rsidRDefault="00906348" w:rsidP="00906348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FGRBLW-</w:t>
            </w:r>
            <w:r w:rsidRPr="009E265D">
              <w:rPr>
                <w:color w:val="FF0000"/>
                <w:sz w:val="24"/>
                <w:szCs w:val="24"/>
              </w:rPr>
              <w:t>230</w:t>
            </w:r>
            <w:r w:rsidRPr="009E265D">
              <w:rPr>
                <w:color w:val="FF0000"/>
                <w:sz w:val="24"/>
                <w:szCs w:val="24"/>
              </w:rPr>
              <w:t>/800-3</w:t>
            </w:r>
          </w:p>
          <w:p w:rsidR="005A3CA8" w:rsidRPr="009E265D" w:rsidRDefault="00906348" w:rsidP="00906348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TR2</w:t>
            </w:r>
            <w:r w:rsidRPr="009E265D">
              <w:rPr>
                <w:color w:val="FF0000"/>
                <w:sz w:val="24"/>
                <w:szCs w:val="24"/>
              </w:rPr>
              <w:t>287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COTA 650-H014-23-AG3-01</w:t>
            </w:r>
          </w:p>
        </w:tc>
        <w:tc>
          <w:tcPr>
            <w:tcW w:w="2396" w:type="dxa"/>
            <w:noWrap/>
            <w:hideMark/>
          </w:tcPr>
          <w:p w:rsidR="005A3CA8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RHM International</w:t>
            </w:r>
          </w:p>
          <w:p w:rsidR="005A3CA8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FGRBLW-138/800-3</w:t>
            </w:r>
          </w:p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TR2137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20764D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 xml:space="preserve">Rated </w:t>
            </w:r>
            <w:r>
              <w:rPr>
                <w:sz w:val="24"/>
                <w:szCs w:val="24"/>
              </w:rPr>
              <w:t>k</w:t>
            </w:r>
            <w:r w:rsidRPr="00C26D2E">
              <w:rPr>
                <w:rFonts w:hint="eastAsia"/>
                <w:sz w:val="24"/>
                <w:szCs w:val="24"/>
              </w:rPr>
              <w:t>V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230</w:t>
            </w:r>
          </w:p>
        </w:tc>
        <w:tc>
          <w:tcPr>
            <w:tcW w:w="2395" w:type="dxa"/>
          </w:tcPr>
          <w:p w:rsidR="005A3CA8" w:rsidRPr="009E265D" w:rsidRDefault="0090634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230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138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Rated BIL (kV)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900</w:t>
            </w:r>
          </w:p>
        </w:tc>
        <w:tc>
          <w:tcPr>
            <w:tcW w:w="2395" w:type="dxa"/>
          </w:tcPr>
          <w:p w:rsidR="005A3CA8" w:rsidRPr="009E265D" w:rsidRDefault="0090634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900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650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650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 xml:space="preserve">Bushing Connection 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Draw Lead</w:t>
            </w:r>
          </w:p>
        </w:tc>
        <w:tc>
          <w:tcPr>
            <w:tcW w:w="2395" w:type="dxa"/>
          </w:tcPr>
          <w:p w:rsidR="005A3CA8" w:rsidRPr="009E265D" w:rsidRDefault="0090634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Draw Lead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Draw Lead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5F64B9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 lead 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Rated Amps (Draw Lead)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800</w:t>
            </w:r>
          </w:p>
        </w:tc>
        <w:tc>
          <w:tcPr>
            <w:tcW w:w="2395" w:type="dxa"/>
          </w:tcPr>
          <w:p w:rsidR="005A3CA8" w:rsidRPr="009E265D" w:rsidRDefault="0090634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800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800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20764D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 xml:space="preserve">Standard bushing built to 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IEEE</w:t>
            </w:r>
          </w:p>
        </w:tc>
        <w:tc>
          <w:tcPr>
            <w:tcW w:w="2395" w:type="dxa"/>
          </w:tcPr>
          <w:p w:rsidR="005A3CA8" w:rsidRPr="009E265D" w:rsidRDefault="0090634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IEEE C57.19.01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IEEE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IEEE C57.19.01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b/>
                <w:bCs/>
                <w:sz w:val="24"/>
                <w:szCs w:val="24"/>
              </w:rPr>
            </w:pPr>
            <w:r w:rsidRPr="00C26D2E">
              <w:rPr>
                <w:rFonts w:hint="eastAsia"/>
                <w:b/>
                <w:bCs/>
                <w:sz w:val="24"/>
                <w:szCs w:val="24"/>
              </w:rPr>
              <w:t>Bushing Dimensions</w:t>
            </w:r>
          </w:p>
        </w:tc>
        <w:tc>
          <w:tcPr>
            <w:tcW w:w="2395" w:type="dxa"/>
          </w:tcPr>
          <w:p w:rsidR="005A3CA8" w:rsidRPr="009E265D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5A3CA8" w:rsidRPr="009E265D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Length above flange (mm</w:t>
            </w:r>
            <w:r w:rsidRPr="00C26D2E">
              <w:rPr>
                <w:sz w:val="24"/>
                <w:szCs w:val="24"/>
              </w:rPr>
              <w:t>) A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2828</w:t>
            </w:r>
          </w:p>
        </w:tc>
        <w:tc>
          <w:tcPr>
            <w:tcW w:w="2395" w:type="dxa"/>
          </w:tcPr>
          <w:p w:rsidR="005A3CA8" w:rsidRPr="009E265D" w:rsidRDefault="008B32D1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2828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Length above flange to draw pin (mm</w:t>
            </w:r>
            <w:r w:rsidRPr="00C26D2E">
              <w:rPr>
                <w:sz w:val="24"/>
                <w:szCs w:val="24"/>
              </w:rPr>
              <w:t>) B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2616</w:t>
            </w:r>
          </w:p>
        </w:tc>
        <w:tc>
          <w:tcPr>
            <w:tcW w:w="2395" w:type="dxa"/>
          </w:tcPr>
          <w:p w:rsidR="005A3CA8" w:rsidRPr="009E265D" w:rsidRDefault="00B93144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2500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1656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Safe Oil Level (mm) -  C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584.2</w:t>
            </w:r>
          </w:p>
        </w:tc>
        <w:tc>
          <w:tcPr>
            <w:tcW w:w="2395" w:type="dxa"/>
          </w:tcPr>
          <w:p w:rsidR="005A3CA8" w:rsidRPr="009E265D" w:rsidRDefault="00B93144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584.2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584.2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584.2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Length below flange (mm</w:t>
            </w:r>
            <w:r w:rsidRPr="00C26D2E">
              <w:rPr>
                <w:sz w:val="24"/>
                <w:szCs w:val="24"/>
              </w:rPr>
              <w:t>) -</w:t>
            </w:r>
            <w:r w:rsidRPr="00C26D2E">
              <w:rPr>
                <w:rFonts w:hint="eastAsia"/>
                <w:sz w:val="24"/>
                <w:szCs w:val="24"/>
              </w:rPr>
              <w:t xml:space="preserve">  D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1276</w:t>
            </w:r>
          </w:p>
        </w:tc>
        <w:tc>
          <w:tcPr>
            <w:tcW w:w="2395" w:type="dxa"/>
          </w:tcPr>
          <w:p w:rsidR="005A3CA8" w:rsidRPr="009E265D" w:rsidRDefault="00B93144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1276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Maximum diameter below flange (mm)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198</w:t>
            </w:r>
          </w:p>
        </w:tc>
        <w:tc>
          <w:tcPr>
            <w:tcW w:w="2395" w:type="dxa"/>
          </w:tcPr>
          <w:p w:rsidR="005A3CA8" w:rsidRPr="009E265D" w:rsidRDefault="00B93144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210</w:t>
            </w:r>
          </w:p>
          <w:p w:rsidR="009E265D" w:rsidRPr="009E265D" w:rsidRDefault="009E265D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18"/>
                <w:szCs w:val="18"/>
              </w:rPr>
            </w:pPr>
            <w:r w:rsidRPr="009E265D">
              <w:rPr>
                <w:color w:val="FF0000"/>
                <w:sz w:val="18"/>
                <w:szCs w:val="18"/>
              </w:rPr>
              <w:t>(Note: CT window opening was confirmed to be 265mm)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5A3CA8" w:rsidRPr="00C26D2E" w:rsidTr="005A3CA8">
        <w:trPr>
          <w:trHeight w:val="66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Upper Stud Length (mm)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63.5</w:t>
            </w:r>
          </w:p>
        </w:tc>
        <w:tc>
          <w:tcPr>
            <w:tcW w:w="2395" w:type="dxa"/>
          </w:tcPr>
          <w:p w:rsidR="005A3CA8" w:rsidRPr="009E265D" w:rsidRDefault="00B93144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75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63.5</w:t>
            </w:r>
          </w:p>
        </w:tc>
        <w:tc>
          <w:tcPr>
            <w:tcW w:w="2396" w:type="dxa"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A3CA8" w:rsidRPr="00C26D2E" w:rsidTr="005A3CA8">
        <w:trPr>
          <w:trHeight w:val="66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Upper Stud</w:t>
            </w:r>
            <w:r>
              <w:rPr>
                <w:sz w:val="24"/>
                <w:szCs w:val="24"/>
              </w:rPr>
              <w:t xml:space="preserve"> Diameter -</w:t>
            </w:r>
            <w:r w:rsidRPr="00C26D2E">
              <w:rPr>
                <w:rFonts w:hint="eastAsia"/>
                <w:sz w:val="24"/>
                <w:szCs w:val="24"/>
              </w:rPr>
              <w:t xml:space="preserve"> Threads per inch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1.5-12</w:t>
            </w:r>
          </w:p>
        </w:tc>
        <w:tc>
          <w:tcPr>
            <w:tcW w:w="2395" w:type="dxa"/>
          </w:tcPr>
          <w:p w:rsidR="005A3CA8" w:rsidRPr="009E265D" w:rsidRDefault="00B93144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1.5-12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1.5-12</w:t>
            </w:r>
          </w:p>
        </w:tc>
        <w:tc>
          <w:tcPr>
            <w:tcW w:w="2396" w:type="dxa"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26D2E">
              <w:rPr>
                <w:rFonts w:hint="eastAsia"/>
                <w:sz w:val="24"/>
                <w:szCs w:val="24"/>
              </w:rPr>
              <w:t>.5-12</w:t>
            </w:r>
            <w:r w:rsidRPr="00C26D2E">
              <w:rPr>
                <w:rFonts w:hint="eastAsia"/>
                <w:sz w:val="24"/>
                <w:szCs w:val="24"/>
              </w:rPr>
              <w:br/>
            </w:r>
          </w:p>
        </w:tc>
      </w:tr>
      <w:tr w:rsidR="005A3CA8" w:rsidRPr="00C26D2E" w:rsidTr="005A3CA8">
        <w:trPr>
          <w:trHeight w:val="660"/>
        </w:trPr>
        <w:tc>
          <w:tcPr>
            <w:tcW w:w="3574" w:type="dxa"/>
            <w:noWrap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Creepage Distance (mm)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6160</w:t>
            </w:r>
          </w:p>
        </w:tc>
        <w:tc>
          <w:tcPr>
            <w:tcW w:w="2395" w:type="dxa"/>
          </w:tcPr>
          <w:p w:rsidR="005A3CA8" w:rsidRPr="009E265D" w:rsidRDefault="00B93144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6160</w:t>
            </w:r>
          </w:p>
        </w:tc>
        <w:tc>
          <w:tcPr>
            <w:tcW w:w="2395" w:type="dxa"/>
            <w:noWrap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2396" w:type="dxa"/>
          </w:tcPr>
          <w:p w:rsidR="005A3CA8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3450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b/>
                <w:bCs/>
                <w:sz w:val="24"/>
                <w:szCs w:val="24"/>
              </w:rPr>
            </w:pPr>
            <w:r w:rsidRPr="00C26D2E">
              <w:rPr>
                <w:rFonts w:hint="eastAsia"/>
                <w:b/>
                <w:bCs/>
                <w:sz w:val="24"/>
                <w:szCs w:val="24"/>
              </w:rPr>
              <w:t>Bushing Mounting</w:t>
            </w:r>
          </w:p>
        </w:tc>
        <w:tc>
          <w:tcPr>
            <w:tcW w:w="2395" w:type="dxa"/>
          </w:tcPr>
          <w:p w:rsidR="005A3CA8" w:rsidRPr="009E265D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2395" w:type="dxa"/>
          </w:tcPr>
          <w:p w:rsidR="005A3CA8" w:rsidRPr="009E265D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 xml:space="preserve">Diameter of Bolt Circle mounting </w:t>
            </w:r>
            <w:r w:rsidRPr="00C26D2E">
              <w:rPr>
                <w:rFonts w:hint="eastAsia"/>
                <w:sz w:val="24"/>
                <w:szCs w:val="24"/>
              </w:rPr>
              <w:lastRenderedPageBreak/>
              <w:t>holes (inches)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95" w:type="dxa"/>
          </w:tcPr>
          <w:p w:rsidR="005A3CA8" w:rsidRPr="009E265D" w:rsidRDefault="00B93144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21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14.25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Number of mounting bolt holes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Diameter of mounting holes (mm)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31.75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rFonts w:hint="eastAsia"/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31.75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31.75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31.75</w:t>
            </w:r>
          </w:p>
        </w:tc>
      </w:tr>
      <w:tr w:rsidR="005A3CA8" w:rsidRPr="00C26D2E" w:rsidTr="005A3CA8">
        <w:trPr>
          <w:trHeight w:val="330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Inner gasket seat diameter (mm)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--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--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</w:tr>
      <w:tr w:rsidR="005A3CA8" w:rsidRPr="00C26D2E" w:rsidTr="005A3CA8">
        <w:trPr>
          <w:trHeight w:val="345"/>
        </w:trPr>
        <w:tc>
          <w:tcPr>
            <w:tcW w:w="3574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 w:rsidRPr="00C26D2E">
              <w:rPr>
                <w:rFonts w:hint="eastAsia"/>
                <w:sz w:val="24"/>
                <w:szCs w:val="24"/>
              </w:rPr>
              <w:t>Outer gasket seat diameter (mm)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--</w:t>
            </w:r>
          </w:p>
        </w:tc>
        <w:tc>
          <w:tcPr>
            <w:tcW w:w="2395" w:type="dxa"/>
          </w:tcPr>
          <w:p w:rsidR="005A3CA8" w:rsidRPr="009E265D" w:rsidRDefault="003F4C19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color w:val="FF0000"/>
                <w:sz w:val="24"/>
                <w:szCs w:val="24"/>
              </w:rPr>
            </w:pPr>
            <w:r w:rsidRPr="009E265D">
              <w:rPr>
                <w:color w:val="FF0000"/>
                <w:sz w:val="24"/>
                <w:szCs w:val="24"/>
              </w:rPr>
              <w:t>--</w:t>
            </w:r>
          </w:p>
        </w:tc>
        <w:tc>
          <w:tcPr>
            <w:tcW w:w="2395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2396" w:type="dxa"/>
            <w:noWrap/>
            <w:hideMark/>
          </w:tcPr>
          <w:p w:rsidR="005A3CA8" w:rsidRPr="00C26D2E" w:rsidRDefault="005A3CA8" w:rsidP="00C26D2E">
            <w:pPr>
              <w:tabs>
                <w:tab w:val="left" w:pos="540"/>
                <w:tab w:val="left" w:pos="990"/>
                <w:tab w:val="left" w:pos="1440"/>
                <w:tab w:val="decimal" w:leader="dot" w:pos="8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</w:tr>
    </w:tbl>
    <w:p w:rsidR="00C26D2E" w:rsidRDefault="00C26D2E" w:rsidP="00210ED8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</w:p>
    <w:p w:rsidR="00381E3F" w:rsidRDefault="00DD2498" w:rsidP="00210ED8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summary </w:t>
      </w:r>
      <w:r w:rsidR="00D21C11">
        <w:rPr>
          <w:sz w:val="24"/>
          <w:szCs w:val="24"/>
          <w:lang w:val="en-GB"/>
        </w:rPr>
        <w:t xml:space="preserve">when embarking on </w:t>
      </w:r>
      <w:r>
        <w:rPr>
          <w:sz w:val="24"/>
          <w:szCs w:val="24"/>
          <w:lang w:val="en-GB"/>
        </w:rPr>
        <w:t xml:space="preserve">a bushing replacement program </w:t>
      </w:r>
      <w:r w:rsidR="00D21C11">
        <w:rPr>
          <w:sz w:val="24"/>
          <w:szCs w:val="24"/>
          <w:lang w:val="en-GB"/>
        </w:rPr>
        <w:t>the large variety of bushing types that will be encountered will be one of the most challenging aspects of the program</w:t>
      </w:r>
      <w:r>
        <w:rPr>
          <w:sz w:val="24"/>
          <w:szCs w:val="24"/>
          <w:lang w:val="en-GB"/>
        </w:rPr>
        <w:t>.</w:t>
      </w:r>
      <w:r w:rsidR="00CF7BF1">
        <w:rPr>
          <w:sz w:val="24"/>
          <w:szCs w:val="24"/>
          <w:lang w:val="en-GB"/>
        </w:rPr>
        <w:t xml:space="preserve"> Being able to get economical “like for like” bushing designs</w:t>
      </w:r>
      <w:r w:rsidR="00D93E29">
        <w:rPr>
          <w:sz w:val="24"/>
          <w:szCs w:val="24"/>
          <w:lang w:val="en-GB"/>
        </w:rPr>
        <w:t xml:space="preserve"> in a timely manner</w:t>
      </w:r>
      <w:r w:rsidR="00CF7BF1">
        <w:rPr>
          <w:sz w:val="24"/>
          <w:szCs w:val="24"/>
          <w:lang w:val="en-GB"/>
        </w:rPr>
        <w:t xml:space="preserve"> should not be underestimated.</w:t>
      </w:r>
      <w:r>
        <w:rPr>
          <w:sz w:val="24"/>
          <w:szCs w:val="24"/>
          <w:lang w:val="en-GB"/>
        </w:rPr>
        <w:t xml:space="preserve"> </w:t>
      </w:r>
    </w:p>
    <w:p w:rsidR="006553CB" w:rsidRDefault="006553CB" w:rsidP="00210ED8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</w:p>
    <w:p w:rsidR="006553CB" w:rsidRDefault="006553CB" w:rsidP="00210ED8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</w:p>
    <w:p w:rsidR="00210ED8" w:rsidRPr="00210ED8" w:rsidRDefault="00210ED8" w:rsidP="00210ED8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  <w:r w:rsidRPr="00210ED8">
        <w:rPr>
          <w:sz w:val="24"/>
          <w:szCs w:val="24"/>
          <w:lang w:val="en-GB"/>
        </w:rPr>
        <w:t>Prepared by:</w:t>
      </w:r>
    </w:p>
    <w:p w:rsidR="00210ED8" w:rsidRPr="00210ED8" w:rsidRDefault="00210ED8" w:rsidP="00210ED8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  <w:lang w:val="en-GB"/>
        </w:rPr>
      </w:pPr>
      <w:r w:rsidRPr="00210ED8">
        <w:rPr>
          <w:sz w:val="24"/>
          <w:szCs w:val="24"/>
          <w:lang w:val="en-GB"/>
        </w:rPr>
        <w:t>RHM International</w:t>
      </w:r>
    </w:p>
    <w:p w:rsidR="00094DE8" w:rsidRPr="002104F2" w:rsidRDefault="008961A8" w:rsidP="00210ED8">
      <w:pPr>
        <w:tabs>
          <w:tab w:val="left" w:pos="540"/>
          <w:tab w:val="left" w:pos="990"/>
          <w:tab w:val="left" w:pos="1440"/>
          <w:tab w:val="decimal" w:leader="dot" w:pos="8550"/>
        </w:tabs>
        <w:rPr>
          <w:sz w:val="24"/>
          <w:szCs w:val="24"/>
        </w:rPr>
      </w:pPr>
      <w:r>
        <w:rPr>
          <w:b/>
          <w:noProof/>
          <w:sz w:val="24"/>
          <w:szCs w:val="24"/>
        </w:rPr>
        <w:t xml:space="preserve">   </w:t>
      </w:r>
    </w:p>
    <w:sectPr w:rsidR="00094DE8" w:rsidRPr="002104F2" w:rsidSect="005A3CA8">
      <w:headerReference w:type="even" r:id="rId8"/>
      <w:headerReference w:type="default" r:id="rId9"/>
      <w:footerReference w:type="default" r:id="rId10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468" w:rsidRDefault="00C46468" w:rsidP="00D861E1">
      <w:r>
        <w:separator/>
      </w:r>
    </w:p>
  </w:endnote>
  <w:endnote w:type="continuationSeparator" w:id="0">
    <w:p w:rsidR="00C46468" w:rsidRDefault="00C46468" w:rsidP="00D8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0688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0E8E" w:rsidRDefault="009C0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26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0E8E" w:rsidRDefault="009C0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468" w:rsidRDefault="00C46468" w:rsidP="00D861E1">
      <w:r>
        <w:separator/>
      </w:r>
    </w:p>
  </w:footnote>
  <w:footnote w:type="continuationSeparator" w:id="0">
    <w:p w:rsidR="00C46468" w:rsidRDefault="00C46468" w:rsidP="00D8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1665E9B60B834AADB615759A7435C699"/>
      </w:placeholder>
      <w:temporary/>
      <w:showingPlcHdr/>
      <w15:appearance w15:val="hidden"/>
    </w:sdtPr>
    <w:sdtEndPr/>
    <w:sdtContent>
      <w:p w:rsidR="00420CB6" w:rsidRDefault="00420CB6">
        <w:pPr>
          <w:pStyle w:val="Header"/>
        </w:pPr>
        <w:r>
          <w:t>[Type here]</w:t>
        </w:r>
      </w:p>
    </w:sdtContent>
  </w:sdt>
  <w:p w:rsidR="00420CB6" w:rsidRDefault="00420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CB6" w:rsidRDefault="00420CB6" w:rsidP="00420CB6">
    <w:pPr>
      <w:rPr>
        <w:sz w:val="48"/>
        <w:szCs w:val="48"/>
      </w:rPr>
    </w:pPr>
    <w:r>
      <w:rPr>
        <w:sz w:val="48"/>
        <w:szCs w:val="48"/>
      </w:rPr>
      <w:t>RHM International</w:t>
    </w:r>
  </w:p>
  <w:p w:rsidR="00420CB6" w:rsidRPr="0005363F" w:rsidRDefault="00420CB6" w:rsidP="00420CB6">
    <w:pPr>
      <w:rPr>
        <w:b/>
        <w:sz w:val="16"/>
        <w:szCs w:val="16"/>
      </w:rPr>
    </w:pPr>
    <w:r>
      <w:rPr>
        <w:b/>
        <w:sz w:val="16"/>
        <w:szCs w:val="16"/>
      </w:rPr>
      <w:t>WWW.RHMINTL.COM</w:t>
    </w:r>
  </w:p>
  <w:p w:rsidR="00D861E1" w:rsidRPr="00D861E1" w:rsidRDefault="00D861E1" w:rsidP="00D861E1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90FC7"/>
    <w:multiLevelType w:val="hybridMultilevel"/>
    <w:tmpl w:val="EA3452F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2E44E0B"/>
    <w:multiLevelType w:val="hybridMultilevel"/>
    <w:tmpl w:val="98AE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47387"/>
    <w:multiLevelType w:val="hybridMultilevel"/>
    <w:tmpl w:val="B2DC209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10A081D"/>
    <w:multiLevelType w:val="hybridMultilevel"/>
    <w:tmpl w:val="D680654A"/>
    <w:lvl w:ilvl="0" w:tplc="C82E07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412B7B"/>
    <w:multiLevelType w:val="hybridMultilevel"/>
    <w:tmpl w:val="EFD42B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82637"/>
    <w:multiLevelType w:val="hybridMultilevel"/>
    <w:tmpl w:val="A6AECDAC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60"/>
    <w:rsid w:val="00000C79"/>
    <w:rsid w:val="00011A9C"/>
    <w:rsid w:val="00030A7D"/>
    <w:rsid w:val="000444C7"/>
    <w:rsid w:val="000522C9"/>
    <w:rsid w:val="0007049A"/>
    <w:rsid w:val="000716F7"/>
    <w:rsid w:val="00094DE8"/>
    <w:rsid w:val="000A264F"/>
    <w:rsid w:val="000C133F"/>
    <w:rsid w:val="000E45EF"/>
    <w:rsid w:val="000F332B"/>
    <w:rsid w:val="00113678"/>
    <w:rsid w:val="00147F8A"/>
    <w:rsid w:val="0015409A"/>
    <w:rsid w:val="00180AAF"/>
    <w:rsid w:val="00183B03"/>
    <w:rsid w:val="001A3AE2"/>
    <w:rsid w:val="001C1D75"/>
    <w:rsid w:val="001C3FD1"/>
    <w:rsid w:val="00206D4C"/>
    <w:rsid w:val="0020764D"/>
    <w:rsid w:val="002104F2"/>
    <w:rsid w:val="00210ED8"/>
    <w:rsid w:val="00213DBC"/>
    <w:rsid w:val="00225ACF"/>
    <w:rsid w:val="002352F8"/>
    <w:rsid w:val="00251079"/>
    <w:rsid w:val="002664AD"/>
    <w:rsid w:val="002705D5"/>
    <w:rsid w:val="00271218"/>
    <w:rsid w:val="00296A6D"/>
    <w:rsid w:val="002A02AC"/>
    <w:rsid w:val="002A64D6"/>
    <w:rsid w:val="002B2C1D"/>
    <w:rsid w:val="002D410D"/>
    <w:rsid w:val="002E0EEF"/>
    <w:rsid w:val="002E294C"/>
    <w:rsid w:val="00356801"/>
    <w:rsid w:val="003579FF"/>
    <w:rsid w:val="00381E3F"/>
    <w:rsid w:val="00386CCD"/>
    <w:rsid w:val="003B0E77"/>
    <w:rsid w:val="003C07A7"/>
    <w:rsid w:val="003C5689"/>
    <w:rsid w:val="003D6B53"/>
    <w:rsid w:val="003D71E0"/>
    <w:rsid w:val="003F4C19"/>
    <w:rsid w:val="00420CB6"/>
    <w:rsid w:val="004312AC"/>
    <w:rsid w:val="00431348"/>
    <w:rsid w:val="004429C9"/>
    <w:rsid w:val="0044615F"/>
    <w:rsid w:val="0046616A"/>
    <w:rsid w:val="00475CFD"/>
    <w:rsid w:val="004A3F4A"/>
    <w:rsid w:val="004B0796"/>
    <w:rsid w:val="004C1279"/>
    <w:rsid w:val="004E32C9"/>
    <w:rsid w:val="004F0DBF"/>
    <w:rsid w:val="005070B7"/>
    <w:rsid w:val="005319F5"/>
    <w:rsid w:val="005355AE"/>
    <w:rsid w:val="005359B4"/>
    <w:rsid w:val="00563A84"/>
    <w:rsid w:val="00571616"/>
    <w:rsid w:val="00575A6D"/>
    <w:rsid w:val="00592426"/>
    <w:rsid w:val="00594BDC"/>
    <w:rsid w:val="005A36B8"/>
    <w:rsid w:val="005A3CA8"/>
    <w:rsid w:val="005B477A"/>
    <w:rsid w:val="005B599E"/>
    <w:rsid w:val="005D46D8"/>
    <w:rsid w:val="005F64B9"/>
    <w:rsid w:val="00626CD1"/>
    <w:rsid w:val="0063475D"/>
    <w:rsid w:val="00647DB7"/>
    <w:rsid w:val="006539AE"/>
    <w:rsid w:val="006553CB"/>
    <w:rsid w:val="00681826"/>
    <w:rsid w:val="006A6CAD"/>
    <w:rsid w:val="006B07ED"/>
    <w:rsid w:val="006B270C"/>
    <w:rsid w:val="006D08F0"/>
    <w:rsid w:val="006D471D"/>
    <w:rsid w:val="006E1ACC"/>
    <w:rsid w:val="006E447C"/>
    <w:rsid w:val="006E7603"/>
    <w:rsid w:val="006F42B8"/>
    <w:rsid w:val="0072515B"/>
    <w:rsid w:val="007355FD"/>
    <w:rsid w:val="00742603"/>
    <w:rsid w:val="007572B3"/>
    <w:rsid w:val="007618EB"/>
    <w:rsid w:val="0076323C"/>
    <w:rsid w:val="00797358"/>
    <w:rsid w:val="007A4B46"/>
    <w:rsid w:val="007C1D79"/>
    <w:rsid w:val="007C5F95"/>
    <w:rsid w:val="007D18B1"/>
    <w:rsid w:val="007D33D9"/>
    <w:rsid w:val="008118E1"/>
    <w:rsid w:val="0081758E"/>
    <w:rsid w:val="00831440"/>
    <w:rsid w:val="008537FC"/>
    <w:rsid w:val="00864FDE"/>
    <w:rsid w:val="00872F39"/>
    <w:rsid w:val="00875AE3"/>
    <w:rsid w:val="008912DC"/>
    <w:rsid w:val="00891E68"/>
    <w:rsid w:val="008961A8"/>
    <w:rsid w:val="008A2A6F"/>
    <w:rsid w:val="008A4B70"/>
    <w:rsid w:val="008B32D1"/>
    <w:rsid w:val="008B6F49"/>
    <w:rsid w:val="008B7039"/>
    <w:rsid w:val="008D49A6"/>
    <w:rsid w:val="008F2766"/>
    <w:rsid w:val="008F30A6"/>
    <w:rsid w:val="00906348"/>
    <w:rsid w:val="009066F0"/>
    <w:rsid w:val="00916F50"/>
    <w:rsid w:val="0091757D"/>
    <w:rsid w:val="00926CB2"/>
    <w:rsid w:val="00945003"/>
    <w:rsid w:val="00956EE9"/>
    <w:rsid w:val="00974D2E"/>
    <w:rsid w:val="00976457"/>
    <w:rsid w:val="009B2D4F"/>
    <w:rsid w:val="009B514D"/>
    <w:rsid w:val="009C0E8E"/>
    <w:rsid w:val="009C145B"/>
    <w:rsid w:val="009E265D"/>
    <w:rsid w:val="009F6B77"/>
    <w:rsid w:val="00A03976"/>
    <w:rsid w:val="00A07927"/>
    <w:rsid w:val="00A26C2F"/>
    <w:rsid w:val="00A32D9D"/>
    <w:rsid w:val="00A5009E"/>
    <w:rsid w:val="00A517A9"/>
    <w:rsid w:val="00A61994"/>
    <w:rsid w:val="00A71689"/>
    <w:rsid w:val="00A74E58"/>
    <w:rsid w:val="00A9025B"/>
    <w:rsid w:val="00AF4A94"/>
    <w:rsid w:val="00B00930"/>
    <w:rsid w:val="00B053CC"/>
    <w:rsid w:val="00B054C6"/>
    <w:rsid w:val="00B213BD"/>
    <w:rsid w:val="00B248FE"/>
    <w:rsid w:val="00B313B5"/>
    <w:rsid w:val="00B4352F"/>
    <w:rsid w:val="00B93144"/>
    <w:rsid w:val="00B97BBD"/>
    <w:rsid w:val="00BA2544"/>
    <w:rsid w:val="00BA4178"/>
    <w:rsid w:val="00BB5AD0"/>
    <w:rsid w:val="00BB7DD5"/>
    <w:rsid w:val="00BC69FD"/>
    <w:rsid w:val="00BF7A40"/>
    <w:rsid w:val="00C05D46"/>
    <w:rsid w:val="00C22042"/>
    <w:rsid w:val="00C25F7C"/>
    <w:rsid w:val="00C26432"/>
    <w:rsid w:val="00C26D2E"/>
    <w:rsid w:val="00C30A38"/>
    <w:rsid w:val="00C324BA"/>
    <w:rsid w:val="00C35D3D"/>
    <w:rsid w:val="00C36B81"/>
    <w:rsid w:val="00C46468"/>
    <w:rsid w:val="00C50481"/>
    <w:rsid w:val="00C60A00"/>
    <w:rsid w:val="00C702B3"/>
    <w:rsid w:val="00C754C6"/>
    <w:rsid w:val="00C76404"/>
    <w:rsid w:val="00CA7BD1"/>
    <w:rsid w:val="00CD04D7"/>
    <w:rsid w:val="00CE2417"/>
    <w:rsid w:val="00CE53E7"/>
    <w:rsid w:val="00CF7BF1"/>
    <w:rsid w:val="00D026D8"/>
    <w:rsid w:val="00D06B02"/>
    <w:rsid w:val="00D12595"/>
    <w:rsid w:val="00D21C11"/>
    <w:rsid w:val="00D4405F"/>
    <w:rsid w:val="00D475AD"/>
    <w:rsid w:val="00D60955"/>
    <w:rsid w:val="00D853F5"/>
    <w:rsid w:val="00D861E1"/>
    <w:rsid w:val="00D93E29"/>
    <w:rsid w:val="00D95EBC"/>
    <w:rsid w:val="00DD2498"/>
    <w:rsid w:val="00DF0B93"/>
    <w:rsid w:val="00E0076A"/>
    <w:rsid w:val="00E14CF7"/>
    <w:rsid w:val="00E2772E"/>
    <w:rsid w:val="00E3032F"/>
    <w:rsid w:val="00E31937"/>
    <w:rsid w:val="00E34620"/>
    <w:rsid w:val="00E42B95"/>
    <w:rsid w:val="00E5504C"/>
    <w:rsid w:val="00E750BA"/>
    <w:rsid w:val="00E9693C"/>
    <w:rsid w:val="00EB13DE"/>
    <w:rsid w:val="00EB78D2"/>
    <w:rsid w:val="00ED0956"/>
    <w:rsid w:val="00ED0B8F"/>
    <w:rsid w:val="00ED14BC"/>
    <w:rsid w:val="00ED2ED8"/>
    <w:rsid w:val="00EF14B7"/>
    <w:rsid w:val="00F06EDD"/>
    <w:rsid w:val="00F07D07"/>
    <w:rsid w:val="00F40B5F"/>
    <w:rsid w:val="00F45E60"/>
    <w:rsid w:val="00F52C57"/>
    <w:rsid w:val="00F8454B"/>
    <w:rsid w:val="00F917C4"/>
    <w:rsid w:val="00FA341D"/>
    <w:rsid w:val="00FB535F"/>
    <w:rsid w:val="00FC33F4"/>
    <w:rsid w:val="00FC6CE0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A098C"/>
  <w15:docId w15:val="{F8D5D61E-F2C5-4A21-B00E-E44EDBB0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0EEF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rsid w:val="00956EE9"/>
    <w:pPr>
      <w:widowControl/>
      <w:suppressAutoHyphens/>
      <w:overflowPunct w:val="0"/>
      <w:spacing w:after="240"/>
      <w:ind w:left="720"/>
    </w:pPr>
    <w:rPr>
      <w:rFonts w:ascii="Arial" w:hAnsi="Arial"/>
      <w:sz w:val="24"/>
      <w:lang w:val="en-GB" w:eastAsia="en-CA"/>
    </w:rPr>
  </w:style>
  <w:style w:type="paragraph" w:styleId="ListParagraph">
    <w:name w:val="List Paragraph"/>
    <w:basedOn w:val="Normal"/>
    <w:uiPriority w:val="34"/>
    <w:qFormat/>
    <w:rsid w:val="00F8454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C07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7A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D86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1E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D86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1E1"/>
    <w:rPr>
      <w:lang w:val="en-US" w:eastAsia="en-US"/>
    </w:rPr>
  </w:style>
  <w:style w:type="paragraph" w:customStyle="1" w:styleId="issue">
    <w:name w:val="issue"/>
    <w:basedOn w:val="Normal"/>
    <w:next w:val="Normal"/>
    <w:uiPriority w:val="99"/>
    <w:rsid w:val="00D861E1"/>
    <w:pPr>
      <w:widowControl/>
      <w:tabs>
        <w:tab w:val="left" w:pos="806"/>
      </w:tabs>
      <w:autoSpaceDE/>
      <w:autoSpaceDN/>
      <w:adjustRightInd/>
      <w:ind w:left="806" w:hanging="806"/>
    </w:pPr>
    <w:rPr>
      <w:b/>
      <w:sz w:val="26"/>
      <w:lang w:val="en-GB" w:eastAsia="en-CA"/>
    </w:rPr>
  </w:style>
  <w:style w:type="paragraph" w:styleId="Title">
    <w:name w:val="Title"/>
    <w:basedOn w:val="Normal"/>
    <w:link w:val="TitleChar"/>
    <w:uiPriority w:val="99"/>
    <w:qFormat/>
    <w:rsid w:val="00D861E1"/>
    <w:pPr>
      <w:widowControl/>
      <w:autoSpaceDE/>
      <w:autoSpaceDN/>
      <w:adjustRightInd/>
      <w:jc w:val="center"/>
    </w:pPr>
    <w:rPr>
      <w:rFonts w:ascii="Arial" w:hAnsi="Arial"/>
      <w:b/>
      <w:sz w:val="22"/>
      <w:lang w:eastAsia="en-CA"/>
    </w:rPr>
  </w:style>
  <w:style w:type="character" w:customStyle="1" w:styleId="TitleChar">
    <w:name w:val="Title Char"/>
    <w:basedOn w:val="DefaultParagraphFont"/>
    <w:link w:val="Title"/>
    <w:uiPriority w:val="99"/>
    <w:rsid w:val="00D861E1"/>
    <w:rPr>
      <w:rFonts w:ascii="Arial" w:hAnsi="Arial"/>
      <w:b/>
      <w:sz w:val="22"/>
      <w:lang w:val="en-US"/>
    </w:rPr>
  </w:style>
  <w:style w:type="paragraph" w:styleId="Caption">
    <w:name w:val="caption"/>
    <w:basedOn w:val="Normal"/>
    <w:next w:val="Normal"/>
    <w:unhideWhenUsed/>
    <w:qFormat/>
    <w:rsid w:val="009C0E8E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0CB6"/>
    <w:rPr>
      <w:color w:val="0000FF" w:themeColor="hyperlink"/>
      <w:u w:val="single"/>
    </w:rPr>
  </w:style>
  <w:style w:type="table" w:styleId="TableGrid">
    <w:name w:val="Table Grid"/>
    <w:basedOn w:val="TableNormal"/>
    <w:rsid w:val="0087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65E9B60B834AADB615759A7435C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60C08-67AA-43AC-8EE5-B00E7C8F8E50}"/>
      </w:docPartPr>
      <w:docPartBody>
        <w:p w:rsidR="00A40CAB" w:rsidRDefault="00F93259" w:rsidP="00F93259">
          <w:pPr>
            <w:pStyle w:val="1665E9B60B834AADB615759A7435C69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59"/>
    <w:rsid w:val="00027E4A"/>
    <w:rsid w:val="000E0AEE"/>
    <w:rsid w:val="001305A1"/>
    <w:rsid w:val="0014719F"/>
    <w:rsid w:val="00163B02"/>
    <w:rsid w:val="002B3D18"/>
    <w:rsid w:val="0035177E"/>
    <w:rsid w:val="003A12C9"/>
    <w:rsid w:val="003D0266"/>
    <w:rsid w:val="003E5AAD"/>
    <w:rsid w:val="00412002"/>
    <w:rsid w:val="004C102E"/>
    <w:rsid w:val="006A020D"/>
    <w:rsid w:val="006E4FAA"/>
    <w:rsid w:val="00746BE1"/>
    <w:rsid w:val="0078531C"/>
    <w:rsid w:val="007D57B8"/>
    <w:rsid w:val="00846F3C"/>
    <w:rsid w:val="008C1F5C"/>
    <w:rsid w:val="00917D0B"/>
    <w:rsid w:val="009E3AD1"/>
    <w:rsid w:val="00A40CAB"/>
    <w:rsid w:val="00AE5751"/>
    <w:rsid w:val="00BA41E1"/>
    <w:rsid w:val="00D2421F"/>
    <w:rsid w:val="00DF7A0D"/>
    <w:rsid w:val="00E0372A"/>
    <w:rsid w:val="00E355B5"/>
    <w:rsid w:val="00F1257F"/>
    <w:rsid w:val="00F9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C6FAF8C7984408885AA5724548CF7E">
    <w:name w:val="48C6FAF8C7984408885AA5724548CF7E"/>
    <w:rsid w:val="00F93259"/>
  </w:style>
  <w:style w:type="paragraph" w:customStyle="1" w:styleId="1665E9B60B834AADB615759A7435C699">
    <w:name w:val="1665E9B60B834AADB615759A7435C699"/>
    <w:rsid w:val="00F93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AEEC6-388F-444C-AADA-DCE585C8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Hydro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Polovick, Greg</dc:creator>
  <cp:lastModifiedBy>Robert Middleton</cp:lastModifiedBy>
  <cp:revision>4</cp:revision>
  <cp:lastPrinted>2015-03-05T18:26:00Z</cp:lastPrinted>
  <dcterms:created xsi:type="dcterms:W3CDTF">2017-08-21T20:50:00Z</dcterms:created>
  <dcterms:modified xsi:type="dcterms:W3CDTF">2017-08-21T21:40:00Z</dcterms:modified>
</cp:coreProperties>
</file>